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jc w:val="center"/>
        <w:rPr>
          <w:rFonts w:ascii="Calibri" w:cs="Calibri" w:eastAsia="Calibri" w:hAnsi="Calibri"/>
          <w:b w:val="1"/>
          <w:sz w:val="28"/>
          <w:szCs w:val="28"/>
        </w:rPr>
      </w:pPr>
      <w:r w:rsidDel="00000000" w:rsidR="00000000" w:rsidRPr="00000000">
        <w:rPr>
          <w:rFonts w:ascii="Calibri" w:cs="Calibri" w:eastAsia="Calibri" w:hAnsi="Calibri"/>
          <w:b w:val="1"/>
          <w:color w:val="3b3721"/>
          <w:sz w:val="32"/>
          <w:szCs w:val="32"/>
          <w:rtl w:val="0"/>
        </w:rPr>
        <w:t xml:space="preserve">DiSSCo Fed: </w:t>
      </w:r>
      <w:r w:rsidDel="00000000" w:rsidR="00000000" w:rsidRPr="00000000">
        <w:rPr>
          <w:rFonts w:ascii="Calibri" w:cs="Calibri" w:eastAsia="Calibri" w:hAnsi="Calibri"/>
          <w:b w:val="1"/>
          <w:color w:val="3b3721"/>
          <w:sz w:val="28"/>
          <w:szCs w:val="28"/>
          <w:rtl w:val="0"/>
        </w:rPr>
        <w:t xml:space="preserve">Federal Support to the Distributed System of Scientific Collections - </w:t>
      </w:r>
      <w:r w:rsidDel="00000000" w:rsidR="00000000" w:rsidRPr="00000000">
        <w:rPr>
          <w:rFonts w:ascii="Calibri" w:cs="Calibri" w:eastAsia="Calibri" w:hAnsi="Calibri"/>
          <w:b w:val="1"/>
          <w:color w:val="3b3721"/>
          <w:rtl w:val="0"/>
        </w:rPr>
        <w:t xml:space="preserve">Contract - FRSI/00/DI1</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sz w:val="28"/>
          <w:szCs w:val="28"/>
          <w:rtl w:val="0"/>
        </w:rPr>
        <w:t xml:space="preserve">Samenvatting</w:t>
      </w:r>
      <w:r w:rsidDel="00000000" w:rsidR="00000000" w:rsidRPr="00000000">
        <w:rPr>
          <w:rtl w:val="0"/>
        </w:rPr>
      </w:r>
    </w:p>
    <w:p w:rsidR="00000000" w:rsidDel="00000000" w:rsidP="00000000" w:rsidRDefault="00000000" w:rsidRPr="00000000" w14:paraId="00000002">
      <w:pPr>
        <w:widowControl w:val="1"/>
        <w:spacing w:after="200"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widowControl w:val="1"/>
        <w:spacing w:after="20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DiSSCo, het distributiekanaal voor wetenschappelijke collecties, is een nieuwe onderzoeksinfrastructuur (RI) van wereldklasse voor natuurwetenschappelijke collecties. DiSSCo vertegenwoordigt de grootste formele overeenkomst ooit tussen natuurhistorische musea, botanische tuinen en universiteiten die collecties bezitten, en groepeert 1,5 miljard specimens, 5.000 wetenschappers en meer dan 170 instellingen uit 23 landen. Het DiSSCo RI heeft als doel een nieuw valorisatiemodel te creëren voor één Europese collectie die alle Europese natuurwetenschappelijke bezittingen digitaal verenigt onder gemeenschappelijke toegang, curatie, beleid en praktijken die ervoor zorgen dat alle gegevens gemakkelijk vindbaar, toegankelijk, interoperabel en herbruikbaar zijn (FAIR-principes).</w:t>
      </w:r>
    </w:p>
    <w:p w:rsidR="00000000" w:rsidDel="00000000" w:rsidP="00000000" w:rsidRDefault="00000000" w:rsidRPr="00000000" w14:paraId="00000004">
      <w:pPr>
        <w:widowControl w:val="1"/>
        <w:spacing w:after="20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Het doel van het DiSSCo-Fed FRSI-project was om te helpen bij de digitalisatie van het KBIN en het KMMA, die de grootste natuurhistorische collecties van België en een van de grootste van Europa huisvesten. De DiSSCo-Fed is een belangrijke aanvulling op DIGIT-4, het digitaliseringsprogramma van het Belgische wetenschapsbeleid BELSPO dat tot doel heeft de Belgische federale musea, bibliotheken en archieven te ondersteunen bij de digitalisering van hun culturele en wetenschappelijk patrimonium. DISSCo-Fed richt zich op de digitalisering van de types en geïllustreerde specimens met behulp van verschillende hoge resolutie digitalisering pijplijnen en het vastleggen van protocollen om de wetenschappelijke waarde van het digitale model te maximaliseren.</w:t>
      </w:r>
    </w:p>
    <w:p w:rsidR="00000000" w:rsidDel="00000000" w:rsidP="00000000" w:rsidRDefault="00000000" w:rsidRPr="00000000" w14:paraId="00000005">
      <w:pPr>
        <w:widowControl w:val="1"/>
        <w:spacing w:after="20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Dankzij de gecombineerde inspanningen van DIGIT en DiSSCo-Fed hadden RBINS en het KMMA aan het einde van het project ongeveer 280.000 types en geïllustreerde specimens gecodeerd in de systemen voor collectiebeheer. De oorspronkelijke schatting was ongeveer 300.000 soorten en geïllustreerde specimens, maar het lijkt erop dat dit een onderschatting was. Het was inderdaad erg moeilijk om echt prioriteit te geven aan de digitalisering van de type specimens, omdat ze verspreid zijn over de algemene collectie en ontdekt moeten worden tussen de "gewone" specimens. Het totale aantal gedigitaliseerde specimens bedraagt eind 2022 ongeveer 5,7 miljoen specimens in vergelijking met de geschatte omvang van 48 miljoen specimens. </w:t>
      </w:r>
    </w:p>
    <w:p w:rsidR="00000000" w:rsidDel="00000000" w:rsidP="00000000" w:rsidRDefault="00000000" w:rsidRPr="00000000" w14:paraId="00000006">
      <w:pPr>
        <w:widowControl w:val="1"/>
        <w:spacing w:after="20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Het gebruik van de hoge resolutie digitalisering pijplijnen maakte het mogelijk om type en geïllustreerde specimens te digitaliseren met behulp van geschikte workflows. Er werden ook specifieke protocollen ontwikkeld voor verschillende casestudies voor de micro CT-workflow en multispectrale digitalisering.</w:t>
      </w:r>
    </w:p>
    <w:p w:rsidR="00000000" w:rsidDel="00000000" w:rsidP="00000000" w:rsidRDefault="00000000" w:rsidRPr="00000000" w14:paraId="00000007">
      <w:pPr>
        <w:widowControl w:val="1"/>
        <w:spacing w:after="20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Gedurende de 2019-2022 periode, heeft de digitalisatie van RBINS en het KMMA 39.126 afbeeldingen van dozen/laden, 9.146 afbeeldingen van specimens, 12.165 foto-stacking beelden, 60 multispectrale acquisities, 2.362 3D-vlak modellen en 5.735 micro CT-bestanden als resultaat.</w:t>
      </w:r>
    </w:p>
    <w:p w:rsidR="00000000" w:rsidDel="00000000" w:rsidP="00000000" w:rsidRDefault="00000000" w:rsidRPr="00000000" w14:paraId="00000008">
      <w:pPr>
        <w:widowControl w:val="1"/>
        <w:spacing w:after="200" w:line="276" w:lineRule="auto"/>
        <w:jc w:val="both"/>
        <w:rPr/>
      </w:pPr>
      <w:r w:rsidDel="00000000" w:rsidR="00000000" w:rsidRPr="00000000">
        <w:rPr>
          <w:rFonts w:ascii="Calibri" w:cs="Calibri" w:eastAsia="Calibri" w:hAnsi="Calibri"/>
          <w:b w:val="1"/>
          <w:sz w:val="22"/>
          <w:szCs w:val="22"/>
          <w:rtl w:val="0"/>
        </w:rPr>
        <w:t xml:space="preserve">Trefwoorden :</w:t>
      </w:r>
      <w:r w:rsidDel="00000000" w:rsidR="00000000" w:rsidRPr="00000000">
        <w:rPr>
          <w:rFonts w:ascii="Calibri" w:cs="Calibri" w:eastAsia="Calibri" w:hAnsi="Calibri"/>
          <w:sz w:val="22"/>
          <w:szCs w:val="22"/>
          <w:rtl w:val="0"/>
        </w:rPr>
        <w:t xml:space="preserve"> DiSSCo RI, digitalisering, natuurhistorische collecties, type-specimens, micro CT, oppervlakte scanning, multispectrale beeldvorming</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_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360" w:lineRule="auto"/>
      <w:jc w:val="both"/>
    </w:pPr>
    <w:rPr>
      <w:rFonts w:ascii="Times New Roman" w:cs="Times New Roman" w:eastAsia="Times New Roman" w:hAnsi="Times New Roman"/>
      <w:b w:val="1"/>
      <w:sz w:val="28"/>
      <w:szCs w:val="28"/>
    </w:rPr>
  </w:style>
  <w:style w:type="paragraph" w:styleId="Heading2">
    <w:name w:val="heading 2"/>
    <w:basedOn w:val="Normal"/>
    <w:next w:val="Normal"/>
    <w:pPr>
      <w:keepNext w:val="1"/>
      <w:keepLines w:val="1"/>
      <w:pageBreakBefore w:val="0"/>
      <w:spacing w:after="80" w:before="360" w:line="360" w:lineRule="auto"/>
    </w:pPr>
    <w:rPr>
      <w:rFonts w:ascii="Times New Roman" w:cs="Times New Roman" w:eastAsia="Times New Roman" w:hAnsi="Times New Roman"/>
      <w:b w:val="1"/>
      <w:i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